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и отбор персонала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нормативные правовые акты, регулирующие деятельность по поиску и подбору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подготовки для кандидата информации о работодателе и профиле должности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структуры организации и вакантные должности (профессии,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вносить корректирующие сведения в требования к кандидатам на вакантные должности (профессии,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33.3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вакантные должности (профессии, специальности) с обеспечением обратной связи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и отбор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и тестов по оценнке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процедуры оценки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проводится в организациях по нескольким причинам и имеет свои конкретные задачи:</w:t>
            </w:r>
          </w:p>
          <w:p>
            <w:pPr>
              <w:jc w:val="both"/>
              <w:spacing w:after="0" w:line="240" w:lineRule="auto"/>
              <w:rPr>
                <w:sz w:val="24"/>
                <w:szCs w:val="24"/>
              </w:rPr>
            </w:pPr>
            <w:r>
              <w:rPr>
                <w:rFonts w:ascii="Times New Roman" w:hAnsi="Times New Roman" w:cs="Times New Roman"/>
                <w:color w:val="#000000"/>
                <w:sz w:val="24"/>
                <w:szCs w:val="24"/>
              </w:rPr>
              <w:t> •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pPr>
              <w:jc w:val="both"/>
              <w:spacing w:after="0" w:line="240" w:lineRule="auto"/>
              <w:rPr>
                <w:sz w:val="24"/>
                <w:szCs w:val="24"/>
              </w:rPr>
            </w:pPr>
            <w:r>
              <w:rPr>
                <w:rFonts w:ascii="Times New Roman" w:hAnsi="Times New Roman" w:cs="Times New Roman"/>
                <w:color w:val="#000000"/>
                <w:sz w:val="24"/>
                <w:szCs w:val="24"/>
              </w:rPr>
              <w:t> •	Обучение и развитие. В данном случае цель оценки – выявить таких сотрудников, которым необходимо дополнительное обучение и развитие.</w:t>
            </w:r>
          </w:p>
          <w:p>
            <w:pPr>
              <w:jc w:val="both"/>
              <w:spacing w:after="0" w:line="240" w:lineRule="auto"/>
              <w:rPr>
                <w:sz w:val="24"/>
                <w:szCs w:val="24"/>
              </w:rPr>
            </w:pPr>
            <w:r>
              <w:rPr>
                <w:rFonts w:ascii="Times New Roman" w:hAnsi="Times New Roman" w:cs="Times New Roman"/>
                <w:color w:val="#000000"/>
                <w:sz w:val="24"/>
                <w:szCs w:val="24"/>
              </w:rPr>
              <w:t> •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и задачи оценки персонала</w:t>
            </w:r>
          </w:p>
        </w:tc>
      </w:tr>
      <w:tr>
        <w:trPr>
          <w:trHeight w:hRule="exact" w:val="2801.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pPr>
              <w:jc w:val="both"/>
              <w:spacing w:after="0" w:line="240" w:lineRule="auto"/>
              <w:rPr>
                <w:sz w:val="24"/>
                <w:szCs w:val="24"/>
              </w:rPr>
            </w:pPr>
            <w:r>
              <w:rPr>
                <w:rFonts w:ascii="Times New Roman" w:hAnsi="Times New Roman" w:cs="Times New Roman"/>
                <w:color w:val="#000000"/>
                <w:sz w:val="24"/>
                <w:szCs w:val="24"/>
              </w:rPr>
              <w:t> •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pPr>
              <w:jc w:val="both"/>
              <w:spacing w:after="0" w:line="240" w:lineRule="auto"/>
              <w:rPr>
                <w:sz w:val="24"/>
                <w:szCs w:val="24"/>
              </w:rPr>
            </w:pPr>
            <w:r>
              <w:rPr>
                <w:rFonts w:ascii="Times New Roman" w:hAnsi="Times New Roman" w:cs="Times New Roman"/>
                <w:color w:val="#000000"/>
                <w:sz w:val="24"/>
                <w:szCs w:val="24"/>
              </w:rPr>
              <w:t> •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pPr>
              <w:jc w:val="both"/>
              <w:spacing w:after="0" w:line="240" w:lineRule="auto"/>
              <w:rPr>
                <w:sz w:val="24"/>
                <w:szCs w:val="24"/>
              </w:rPr>
            </w:pPr>
            <w:r>
              <w:rPr>
                <w:rFonts w:ascii="Times New Roman" w:hAnsi="Times New Roman" w:cs="Times New Roman"/>
                <w:color w:val="#000000"/>
                <w:sz w:val="24"/>
                <w:szCs w:val="24"/>
              </w:rPr>
              <w:t> •	Мотивационная. Сам факт проведения оценки в организации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мотивационным стимулом для сотрудников подтянуть свои результаты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Гендерный аспект оценки и отбора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pPr>
              <w:jc w:val="both"/>
              <w:spacing w:after="0" w:line="240" w:lineRule="auto"/>
              <w:rPr>
                <w:sz w:val="24"/>
                <w:szCs w:val="24"/>
              </w:rPr>
            </w:pPr>
            <w:r>
              <w:rPr>
                <w:rFonts w:ascii="Times New Roman" w:hAnsi="Times New Roman" w:cs="Times New Roman"/>
                <w:color w:val="#000000"/>
                <w:sz w:val="24"/>
                <w:szCs w:val="24"/>
              </w:rPr>
              <w:t> оценка персонала при подборе;</w:t>
            </w:r>
          </w:p>
          <w:p>
            <w:pPr>
              <w:jc w:val="both"/>
              <w:spacing w:after="0" w:line="240" w:lineRule="auto"/>
              <w:rPr>
                <w:sz w:val="24"/>
                <w:szCs w:val="24"/>
              </w:rPr>
            </w:pPr>
            <w:r>
              <w:rPr>
                <w:rFonts w:ascii="Times New Roman" w:hAnsi="Times New Roman" w:cs="Times New Roman"/>
                <w:color w:val="#000000"/>
                <w:sz w:val="24"/>
                <w:szCs w:val="24"/>
              </w:rPr>
              <w:t> индивидуальная оценка уже имеющихся сотрудников;</w:t>
            </w:r>
          </w:p>
          <w:p>
            <w:pPr>
              <w:jc w:val="both"/>
              <w:spacing w:after="0" w:line="240" w:lineRule="auto"/>
              <w:rPr>
                <w:sz w:val="24"/>
                <w:szCs w:val="24"/>
              </w:rPr>
            </w:pPr>
            <w:r>
              <w:rPr>
                <w:rFonts w:ascii="Times New Roman" w:hAnsi="Times New Roman" w:cs="Times New Roman"/>
                <w:color w:val="#000000"/>
                <w:sz w:val="24"/>
                <w:szCs w:val="24"/>
              </w:rPr>
              <w:t> комплексная оценка на предприятии (штата, команды, подразделения);</w:t>
            </w:r>
          </w:p>
          <w:p>
            <w:pPr>
              <w:jc w:val="both"/>
              <w:spacing w:after="0" w:line="240" w:lineRule="auto"/>
              <w:rPr>
                <w:sz w:val="24"/>
                <w:szCs w:val="24"/>
              </w:rPr>
            </w:pPr>
            <w:r>
              <w:rPr>
                <w:rFonts w:ascii="Times New Roman" w:hAnsi="Times New Roman" w:cs="Times New Roman"/>
                <w:color w:val="#000000"/>
                <w:sz w:val="24"/>
                <w:szCs w:val="24"/>
              </w:rPr>
              <w:t> •	исследование факторов, влияющих на продуктивность решения задач, мотивацию, развитие;</w:t>
            </w:r>
          </w:p>
          <w:p>
            <w:pPr>
              <w:jc w:val="both"/>
              <w:spacing w:after="0" w:line="240" w:lineRule="auto"/>
              <w:rPr>
                <w:sz w:val="24"/>
                <w:szCs w:val="24"/>
              </w:rPr>
            </w:pPr>
            <w:r>
              <w:rPr>
                <w:rFonts w:ascii="Times New Roman" w:hAnsi="Times New Roman" w:cs="Times New Roman"/>
                <w:color w:val="#000000"/>
                <w:sz w:val="24"/>
                <w:szCs w:val="24"/>
              </w:rPr>
              <w:t> •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Выбор системы тестирования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 системы управления тестированием ожидает увидеть следующее: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Удобная установка и поддержка.</w:t>
            </w:r>
          </w:p>
          <w:p>
            <w:pPr>
              <w:jc w:val="both"/>
              <w:spacing w:after="0" w:line="240" w:lineRule="auto"/>
              <w:rPr>
                <w:sz w:val="24"/>
                <w:szCs w:val="24"/>
              </w:rPr>
            </w:pPr>
            <w:r>
              <w:rPr>
                <w:rFonts w:ascii="Times New Roman" w:hAnsi="Times New Roman" w:cs="Times New Roman"/>
                <w:color w:val="#000000"/>
                <w:sz w:val="24"/>
                <w:szCs w:val="24"/>
              </w:rPr>
              <w:t> •	Создание и управление проектами.</w:t>
            </w:r>
          </w:p>
          <w:p>
            <w:pPr>
              <w:jc w:val="both"/>
              <w:spacing w:after="0" w:line="240" w:lineRule="auto"/>
              <w:rPr>
                <w:sz w:val="24"/>
                <w:szCs w:val="24"/>
              </w:rPr>
            </w:pPr>
            <w:r>
              <w:rPr>
                <w:rFonts w:ascii="Times New Roman" w:hAnsi="Times New Roman" w:cs="Times New Roman"/>
                <w:color w:val="#000000"/>
                <w:sz w:val="24"/>
                <w:szCs w:val="24"/>
              </w:rPr>
              <w:t> •	Создание пользователей и ролей пользователей.</w:t>
            </w:r>
          </w:p>
          <w:p>
            <w:pPr>
              <w:jc w:val="both"/>
              <w:spacing w:after="0" w:line="240" w:lineRule="auto"/>
              <w:rPr>
                <w:sz w:val="24"/>
                <w:szCs w:val="24"/>
              </w:rPr>
            </w:pPr>
            <w:r>
              <w:rPr>
                <w:rFonts w:ascii="Times New Roman" w:hAnsi="Times New Roman" w:cs="Times New Roman"/>
                <w:color w:val="#000000"/>
                <w:sz w:val="24"/>
                <w:szCs w:val="24"/>
              </w:rPr>
              <w:t> •	Удобная интеграция с автоматическими тестами.</w:t>
            </w:r>
          </w:p>
          <w:p>
            <w:pPr>
              <w:jc w:val="both"/>
              <w:spacing w:after="0" w:line="240" w:lineRule="auto"/>
              <w:rPr>
                <w:sz w:val="24"/>
                <w:szCs w:val="24"/>
              </w:rPr>
            </w:pPr>
            <w:r>
              <w:rPr>
                <w:rFonts w:ascii="Times New Roman" w:hAnsi="Times New Roman" w:cs="Times New Roman"/>
                <w:color w:val="#000000"/>
                <w:sz w:val="24"/>
                <w:szCs w:val="24"/>
              </w:rPr>
              <w:t> •	Создание тест-плана.</w:t>
            </w:r>
          </w:p>
          <w:p>
            <w:pPr>
              <w:jc w:val="both"/>
              <w:spacing w:after="0" w:line="240" w:lineRule="auto"/>
              <w:rPr>
                <w:sz w:val="24"/>
                <w:szCs w:val="24"/>
              </w:rPr>
            </w:pPr>
            <w:r>
              <w:rPr>
                <w:rFonts w:ascii="Times New Roman" w:hAnsi="Times New Roman" w:cs="Times New Roman"/>
                <w:color w:val="#000000"/>
                <w:sz w:val="24"/>
                <w:szCs w:val="24"/>
              </w:rPr>
              <w:t> •	Создание тест-кейса.</w:t>
            </w:r>
          </w:p>
          <w:p>
            <w:pPr>
              <w:jc w:val="both"/>
              <w:spacing w:after="0" w:line="240" w:lineRule="auto"/>
              <w:rPr>
                <w:sz w:val="24"/>
                <w:szCs w:val="24"/>
              </w:rPr>
            </w:pPr>
            <w:r>
              <w:rPr>
                <w:rFonts w:ascii="Times New Roman" w:hAnsi="Times New Roman" w:cs="Times New Roman"/>
                <w:color w:val="#000000"/>
                <w:sz w:val="24"/>
                <w:szCs w:val="24"/>
              </w:rPr>
              <w:t> •	Прогон тест-кейса.</w:t>
            </w:r>
          </w:p>
          <w:p>
            <w:pPr>
              <w:jc w:val="both"/>
              <w:spacing w:after="0" w:line="240" w:lineRule="auto"/>
              <w:rPr>
                <w:sz w:val="24"/>
                <w:szCs w:val="24"/>
              </w:rPr>
            </w:pPr>
            <w:r>
              <w:rPr>
                <w:rFonts w:ascii="Times New Roman" w:hAnsi="Times New Roman" w:cs="Times New Roman"/>
                <w:color w:val="#000000"/>
                <w:sz w:val="24"/>
                <w:szCs w:val="24"/>
              </w:rPr>
              <w:t> •	Понятная система отчётности.</w:t>
            </w:r>
          </w:p>
          <w:p>
            <w:pPr>
              <w:jc w:val="both"/>
              <w:spacing w:after="0" w:line="240" w:lineRule="auto"/>
              <w:rPr>
                <w:sz w:val="24"/>
                <w:szCs w:val="24"/>
              </w:rPr>
            </w:pPr>
            <w:r>
              <w:rPr>
                <w:rFonts w:ascii="Times New Roman" w:hAnsi="Times New Roman" w:cs="Times New Roman"/>
                <w:color w:val="#000000"/>
                <w:sz w:val="24"/>
                <w:szCs w:val="24"/>
              </w:rPr>
              <w:t> •	Встроенная система баг-трекинга.</w:t>
            </w:r>
          </w:p>
          <w:p>
            <w:pPr>
              <w:jc w:val="both"/>
              <w:spacing w:after="0" w:line="240" w:lineRule="auto"/>
              <w:rPr>
                <w:sz w:val="24"/>
                <w:szCs w:val="24"/>
              </w:rPr>
            </w:pPr>
            <w:r>
              <w:rPr>
                <w:rFonts w:ascii="Times New Roman" w:hAnsi="Times New Roman" w:cs="Times New Roman"/>
                <w:color w:val="#000000"/>
                <w:sz w:val="24"/>
                <w:szCs w:val="24"/>
              </w:rPr>
              <w:t> •	Возможность интеграции с другими инструментами.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Сохранение режима конфиденциальности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Критерии эффективности оценки и отбора</w:t>
            </w:r>
          </w:p>
        </w:tc>
      </w:tr>
      <w:tr>
        <w:trPr>
          <w:trHeight w:hRule="exact" w:val="2977.0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pPr>
              <w:jc w:val="both"/>
              <w:spacing w:after="0" w:line="240" w:lineRule="auto"/>
              <w:rPr>
                <w:sz w:val="24"/>
                <w:szCs w:val="24"/>
              </w:rPr>
            </w:pPr>
            <w:r>
              <w:rPr>
                <w:rFonts w:ascii="Times New Roman" w:hAnsi="Times New Roman" w:cs="Times New Roman"/>
                <w:color w:val="#000000"/>
                <w:sz w:val="24"/>
                <w:szCs w:val="24"/>
              </w:rPr>
              <w:t> •	повышение эффективности работы персонала;</w:t>
            </w:r>
          </w:p>
          <w:p>
            <w:pPr>
              <w:jc w:val="both"/>
              <w:spacing w:after="0" w:line="240" w:lineRule="auto"/>
              <w:rPr>
                <w:sz w:val="24"/>
                <w:szCs w:val="24"/>
              </w:rPr>
            </w:pPr>
            <w:r>
              <w:rPr>
                <w:rFonts w:ascii="Times New Roman" w:hAnsi="Times New Roman" w:cs="Times New Roman"/>
                <w:color w:val="#000000"/>
                <w:sz w:val="24"/>
                <w:szCs w:val="24"/>
              </w:rPr>
              <w:t> •	назначение адекватного вознаграждения за работу персонала;</w:t>
            </w:r>
          </w:p>
          <w:p>
            <w:pPr>
              <w:jc w:val="both"/>
              <w:spacing w:after="0" w:line="240" w:lineRule="auto"/>
              <w:rPr>
                <w:sz w:val="24"/>
                <w:szCs w:val="24"/>
              </w:rPr>
            </w:pPr>
            <w:r>
              <w:rPr>
                <w:rFonts w:ascii="Times New Roman" w:hAnsi="Times New Roman" w:cs="Times New Roman"/>
                <w:color w:val="#000000"/>
                <w:sz w:val="24"/>
                <w:szCs w:val="24"/>
              </w:rPr>
              <w:t> •	принятие решения*, связанного с трудовой карьерой сотрудника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Лучшие тесты для оценки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pPr>
              <w:jc w:val="both"/>
              <w:spacing w:after="0" w:line="240" w:lineRule="auto"/>
              <w:rPr>
                <w:sz w:val="24"/>
                <w:szCs w:val="24"/>
              </w:rPr>
            </w:pPr>
            <w:r>
              <w:rPr>
                <w:rFonts w:ascii="Times New Roman" w:hAnsi="Times New Roman" w:cs="Times New Roman"/>
                <w:color w:val="#000000"/>
                <w:sz w:val="24"/>
                <w:szCs w:val="24"/>
              </w:rPr>
              <w:t> «Круговая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 соблюдения гарждангских прав в процессе оценки и отбора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кейс-задач по про тематике учебной дисциплины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и тестов по оценнке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Изучеие федерального законодательства в сфере "Защиты персональных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рефератов по проблемам "Оценки и отобра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Гуцыкова,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Покрамович,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Ширванов,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Анцупов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2024-2025_ФГОС3++2024_Бак-ОЗФО-УП(ДОП)(24)_plx_Оценка и отбор персонала</dc:title>
  <dc:creator>FastReport.NET</dc:creator>
</cp:coreProperties>
</file>